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11" w:rsidRDefault="00F46511" w:rsidP="00F46511">
      <w:pPr>
        <w:pStyle w:val="a3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t>Приложения:</w:t>
      </w:r>
    </w:p>
    <w:p w:rsidR="00F46511" w:rsidRDefault="001A046C" w:rsidP="00F46511">
      <w:pPr>
        <w:pStyle w:val="a3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t>Дидактический материал.</w:t>
      </w:r>
    </w:p>
    <w:p w:rsidR="00F46511" w:rsidRPr="00416EF6" w:rsidRDefault="00F46511" w:rsidP="00F46511">
      <w:pPr>
        <w:pStyle w:val="maintext"/>
        <w:jc w:val="left"/>
        <w:rPr>
          <w:color w:val="auto"/>
        </w:rPr>
      </w:pPr>
      <w:r w:rsidRPr="00416EF6">
        <w:rPr>
          <w:color w:val="auto"/>
        </w:rPr>
        <w:t>Приложение 1.</w:t>
      </w:r>
      <w:bookmarkStart w:id="0" w:name="_GoBack"/>
      <w:bookmarkEnd w:id="0"/>
    </w:p>
    <w:p w:rsidR="00F46511" w:rsidRPr="00416EF6" w:rsidRDefault="00F46511" w:rsidP="00F46511">
      <w:pPr>
        <w:pStyle w:val="maintext"/>
        <w:jc w:val="left"/>
        <w:rPr>
          <w:b/>
          <w:color w:val="auto"/>
        </w:rPr>
      </w:pPr>
      <w:r w:rsidRPr="00416EF6">
        <w:rPr>
          <w:b/>
          <w:color w:val="auto"/>
        </w:rPr>
        <w:t>Стили речи.</w:t>
      </w:r>
    </w:p>
    <w:tbl>
      <w:tblPr>
        <w:tblStyle w:val="a4"/>
        <w:tblW w:w="101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018"/>
        <w:gridCol w:w="2198"/>
        <w:gridCol w:w="2021"/>
        <w:gridCol w:w="2092"/>
      </w:tblGrid>
      <w:tr w:rsidR="00F46511" w:rsidRPr="00416EF6" w:rsidTr="00147B6D">
        <w:tc>
          <w:tcPr>
            <w:tcW w:w="1843" w:type="dxa"/>
          </w:tcPr>
          <w:p w:rsidR="00F46511" w:rsidRPr="00416EF6" w:rsidRDefault="00F46511" w:rsidP="00147B6D">
            <w:r w:rsidRPr="00416EF6">
              <w:t>Стили речи</w:t>
            </w:r>
          </w:p>
        </w:tc>
        <w:tc>
          <w:tcPr>
            <w:tcW w:w="2018" w:type="dxa"/>
          </w:tcPr>
          <w:p w:rsidR="00F46511" w:rsidRPr="00416EF6" w:rsidRDefault="00F46511" w:rsidP="00147B6D">
            <w:r w:rsidRPr="00416EF6">
              <w:t>С какой целью употребляем?</w:t>
            </w:r>
          </w:p>
        </w:tc>
        <w:tc>
          <w:tcPr>
            <w:tcW w:w="2198" w:type="dxa"/>
          </w:tcPr>
          <w:p w:rsidR="00F46511" w:rsidRPr="00416EF6" w:rsidRDefault="00F46511" w:rsidP="00147B6D">
            <w:r w:rsidRPr="00416EF6">
              <w:t>Где употребляется?</w:t>
            </w:r>
          </w:p>
          <w:p w:rsidR="00F46511" w:rsidRPr="00416EF6" w:rsidRDefault="00F46511" w:rsidP="00147B6D">
            <w:r w:rsidRPr="00416EF6">
              <w:t>(</w:t>
            </w:r>
            <w:proofErr w:type="gramStart"/>
            <w:r w:rsidRPr="00416EF6">
              <w:t>сфера</w:t>
            </w:r>
            <w:proofErr w:type="gramEnd"/>
            <w:r w:rsidRPr="00416EF6">
              <w:t xml:space="preserve"> употребления)</w:t>
            </w:r>
          </w:p>
        </w:tc>
        <w:tc>
          <w:tcPr>
            <w:tcW w:w="2021" w:type="dxa"/>
          </w:tcPr>
          <w:p w:rsidR="00F46511" w:rsidRPr="00416EF6" w:rsidRDefault="00F46511" w:rsidP="00147B6D">
            <w:r w:rsidRPr="00416EF6">
              <w:t>Жанры речи</w:t>
            </w:r>
          </w:p>
        </w:tc>
        <w:tc>
          <w:tcPr>
            <w:tcW w:w="2092" w:type="dxa"/>
          </w:tcPr>
          <w:p w:rsidR="00F46511" w:rsidRPr="00416EF6" w:rsidRDefault="00F46511" w:rsidP="00147B6D">
            <w:r w:rsidRPr="00416EF6">
              <w:t>Языковые средства</w:t>
            </w:r>
          </w:p>
        </w:tc>
      </w:tr>
      <w:tr w:rsidR="00F46511" w:rsidRPr="00416EF6" w:rsidTr="00147B6D">
        <w:tc>
          <w:tcPr>
            <w:tcW w:w="1843" w:type="dxa"/>
          </w:tcPr>
          <w:p w:rsidR="00F46511" w:rsidRPr="00416EF6" w:rsidRDefault="00F46511" w:rsidP="00147B6D">
            <w:r w:rsidRPr="00416EF6">
              <w:t>Разговорный</w:t>
            </w:r>
          </w:p>
        </w:tc>
        <w:tc>
          <w:tcPr>
            <w:tcW w:w="2018" w:type="dxa"/>
          </w:tcPr>
          <w:p w:rsidR="00F46511" w:rsidRPr="00416EF6" w:rsidRDefault="00F46511" w:rsidP="00147B6D">
            <w:r w:rsidRPr="00416EF6">
              <w:t>Общение, обмен мыслями</w:t>
            </w:r>
          </w:p>
        </w:tc>
        <w:tc>
          <w:tcPr>
            <w:tcW w:w="2198" w:type="dxa"/>
          </w:tcPr>
          <w:p w:rsidR="00F46511" w:rsidRPr="00416EF6" w:rsidRDefault="00F46511" w:rsidP="00147B6D">
            <w:r w:rsidRPr="00416EF6">
              <w:t>Общение в быту, беседы.</w:t>
            </w:r>
          </w:p>
        </w:tc>
        <w:tc>
          <w:tcPr>
            <w:tcW w:w="2021" w:type="dxa"/>
          </w:tcPr>
          <w:p w:rsidR="00F46511" w:rsidRPr="00416EF6" w:rsidRDefault="00F46511" w:rsidP="00147B6D">
            <w:r w:rsidRPr="00416EF6">
              <w:t>Беседа, разговор, записка, частные письма</w:t>
            </w:r>
          </w:p>
        </w:tc>
        <w:tc>
          <w:tcPr>
            <w:tcW w:w="2092" w:type="dxa"/>
          </w:tcPr>
          <w:p w:rsidR="00F46511" w:rsidRPr="00416EF6" w:rsidRDefault="00F46511" w:rsidP="00147B6D">
            <w:r w:rsidRPr="00416EF6">
              <w:t>Разговорная лексика</w:t>
            </w:r>
          </w:p>
        </w:tc>
      </w:tr>
      <w:tr w:rsidR="00F46511" w:rsidRPr="00416EF6" w:rsidTr="00147B6D">
        <w:tc>
          <w:tcPr>
            <w:tcW w:w="1843" w:type="dxa"/>
          </w:tcPr>
          <w:p w:rsidR="00F46511" w:rsidRPr="00416EF6" w:rsidRDefault="00F46511" w:rsidP="00147B6D">
            <w:r w:rsidRPr="00416EF6">
              <w:t>Официально-деловой</w:t>
            </w:r>
          </w:p>
        </w:tc>
        <w:tc>
          <w:tcPr>
            <w:tcW w:w="2018" w:type="dxa"/>
          </w:tcPr>
          <w:p w:rsidR="00F46511" w:rsidRPr="00416EF6" w:rsidRDefault="00F46511" w:rsidP="00147B6D">
            <w:r w:rsidRPr="00416EF6">
              <w:t>Сообщение, информация</w:t>
            </w:r>
          </w:p>
        </w:tc>
        <w:tc>
          <w:tcPr>
            <w:tcW w:w="2198" w:type="dxa"/>
          </w:tcPr>
          <w:p w:rsidR="00F46511" w:rsidRPr="00416EF6" w:rsidRDefault="00F46511" w:rsidP="00147B6D">
            <w:r w:rsidRPr="00416EF6">
              <w:t>Общение людей с учреждениями, переписка</w:t>
            </w:r>
          </w:p>
        </w:tc>
        <w:tc>
          <w:tcPr>
            <w:tcW w:w="2021" w:type="dxa"/>
          </w:tcPr>
          <w:p w:rsidR="00F46511" w:rsidRPr="00416EF6" w:rsidRDefault="00F46511" w:rsidP="00147B6D">
            <w:r w:rsidRPr="00416EF6">
              <w:t>Законы, приказы, постановления, протоколы, справки, объявления, деловые бумаги</w:t>
            </w:r>
          </w:p>
        </w:tc>
        <w:tc>
          <w:tcPr>
            <w:tcW w:w="2092" w:type="dxa"/>
          </w:tcPr>
          <w:p w:rsidR="00F46511" w:rsidRPr="00416EF6" w:rsidRDefault="00F46511" w:rsidP="00147B6D">
            <w:r w:rsidRPr="00416EF6">
              <w:t>Официально-деловая лексика, устойчивые обороты речи.</w:t>
            </w:r>
          </w:p>
        </w:tc>
      </w:tr>
      <w:tr w:rsidR="00F46511" w:rsidRPr="00416EF6" w:rsidTr="00147B6D">
        <w:tc>
          <w:tcPr>
            <w:tcW w:w="1843" w:type="dxa"/>
          </w:tcPr>
          <w:p w:rsidR="00F46511" w:rsidRPr="00416EF6" w:rsidRDefault="00F46511" w:rsidP="00147B6D">
            <w:r w:rsidRPr="00416EF6">
              <w:t>Научный</w:t>
            </w:r>
          </w:p>
        </w:tc>
        <w:tc>
          <w:tcPr>
            <w:tcW w:w="2018" w:type="dxa"/>
          </w:tcPr>
          <w:p w:rsidR="00F46511" w:rsidRPr="00416EF6" w:rsidRDefault="00F46511" w:rsidP="00147B6D">
            <w:r w:rsidRPr="00416EF6">
              <w:t>Сообщение, объяснение научных трудов.</w:t>
            </w:r>
          </w:p>
        </w:tc>
        <w:tc>
          <w:tcPr>
            <w:tcW w:w="2198" w:type="dxa"/>
          </w:tcPr>
          <w:p w:rsidR="00F46511" w:rsidRPr="00416EF6" w:rsidRDefault="00F46511" w:rsidP="00147B6D">
            <w:r w:rsidRPr="00416EF6">
              <w:t>Научно-исследовательская деятельность.</w:t>
            </w:r>
          </w:p>
        </w:tc>
        <w:tc>
          <w:tcPr>
            <w:tcW w:w="2021" w:type="dxa"/>
          </w:tcPr>
          <w:p w:rsidR="00F46511" w:rsidRPr="00416EF6" w:rsidRDefault="00F46511" w:rsidP="00147B6D">
            <w:r w:rsidRPr="00416EF6">
              <w:t>Научная статья, научная работа, доклад, учебники</w:t>
            </w:r>
          </w:p>
        </w:tc>
        <w:tc>
          <w:tcPr>
            <w:tcW w:w="2092" w:type="dxa"/>
          </w:tcPr>
          <w:p w:rsidR="00F46511" w:rsidRPr="00416EF6" w:rsidRDefault="00F46511" w:rsidP="00147B6D">
            <w:r w:rsidRPr="00416EF6">
              <w:t>Термины, профессионализмы</w:t>
            </w:r>
          </w:p>
        </w:tc>
      </w:tr>
      <w:tr w:rsidR="00F46511" w:rsidRPr="00416EF6" w:rsidTr="00147B6D">
        <w:tc>
          <w:tcPr>
            <w:tcW w:w="1843" w:type="dxa"/>
          </w:tcPr>
          <w:p w:rsidR="00F46511" w:rsidRPr="00416EF6" w:rsidRDefault="00F46511" w:rsidP="00147B6D">
            <w:proofErr w:type="spellStart"/>
            <w:proofErr w:type="gramStart"/>
            <w:r w:rsidRPr="00416EF6">
              <w:t>Публицисти-ческий</w:t>
            </w:r>
            <w:proofErr w:type="spellEnd"/>
            <w:proofErr w:type="gramEnd"/>
          </w:p>
        </w:tc>
        <w:tc>
          <w:tcPr>
            <w:tcW w:w="2018" w:type="dxa"/>
          </w:tcPr>
          <w:p w:rsidR="00F46511" w:rsidRPr="00416EF6" w:rsidRDefault="00F46511" w:rsidP="00147B6D">
            <w:r w:rsidRPr="00416EF6">
              <w:t>Воздействие на слушателей, для агитации и пропаганды в газетах, журналах, по радио и телевидении</w:t>
            </w:r>
          </w:p>
        </w:tc>
        <w:tc>
          <w:tcPr>
            <w:tcW w:w="2198" w:type="dxa"/>
          </w:tcPr>
          <w:p w:rsidR="00F46511" w:rsidRPr="00416EF6" w:rsidRDefault="00F46511" w:rsidP="00147B6D">
            <w:r w:rsidRPr="00416EF6">
              <w:t>Агитационно-массовая, общественно-</w:t>
            </w:r>
            <w:proofErr w:type="gramStart"/>
            <w:r w:rsidRPr="00416EF6">
              <w:t>политическая  деятельность</w:t>
            </w:r>
            <w:proofErr w:type="gramEnd"/>
          </w:p>
        </w:tc>
        <w:tc>
          <w:tcPr>
            <w:tcW w:w="2021" w:type="dxa"/>
          </w:tcPr>
          <w:p w:rsidR="00F46511" w:rsidRPr="00416EF6" w:rsidRDefault="00F46511" w:rsidP="00147B6D">
            <w:r w:rsidRPr="00416EF6">
              <w:t>Статья, очерк, репортаж, фельетон, интервью, ораторская речь, судебная речь, выступление.</w:t>
            </w:r>
          </w:p>
        </w:tc>
        <w:tc>
          <w:tcPr>
            <w:tcW w:w="2092" w:type="dxa"/>
          </w:tcPr>
          <w:p w:rsidR="00F46511" w:rsidRPr="00416EF6" w:rsidRDefault="00F46511" w:rsidP="00147B6D">
            <w:r w:rsidRPr="00416EF6">
              <w:t>Обращения, слова высокого стиля.</w:t>
            </w:r>
          </w:p>
        </w:tc>
      </w:tr>
      <w:tr w:rsidR="00F46511" w:rsidRPr="00416EF6" w:rsidTr="00147B6D">
        <w:tc>
          <w:tcPr>
            <w:tcW w:w="1843" w:type="dxa"/>
          </w:tcPr>
          <w:p w:rsidR="00F46511" w:rsidRPr="00416EF6" w:rsidRDefault="00F46511" w:rsidP="00147B6D">
            <w:r w:rsidRPr="00416EF6">
              <w:t>Художественный</w:t>
            </w:r>
          </w:p>
        </w:tc>
        <w:tc>
          <w:tcPr>
            <w:tcW w:w="2018" w:type="dxa"/>
          </w:tcPr>
          <w:p w:rsidR="00F46511" w:rsidRPr="00416EF6" w:rsidRDefault="00F46511" w:rsidP="00147B6D">
            <w:r w:rsidRPr="00416EF6">
              <w:t>Воздействие с помощью образов на чувства и мысли читателей.</w:t>
            </w:r>
          </w:p>
        </w:tc>
        <w:tc>
          <w:tcPr>
            <w:tcW w:w="2198" w:type="dxa"/>
          </w:tcPr>
          <w:p w:rsidR="00F46511" w:rsidRPr="00416EF6" w:rsidRDefault="00F46511" w:rsidP="00147B6D">
            <w:r w:rsidRPr="00416EF6">
              <w:t>Словесно-художественное творчество</w:t>
            </w:r>
          </w:p>
        </w:tc>
        <w:tc>
          <w:tcPr>
            <w:tcW w:w="2021" w:type="dxa"/>
          </w:tcPr>
          <w:p w:rsidR="00F46511" w:rsidRPr="00416EF6" w:rsidRDefault="00F46511" w:rsidP="00147B6D">
            <w:r w:rsidRPr="00416EF6">
              <w:t>Драма</w:t>
            </w:r>
          </w:p>
          <w:p w:rsidR="00F46511" w:rsidRPr="00416EF6" w:rsidRDefault="00F46511" w:rsidP="00147B6D">
            <w:r w:rsidRPr="00416EF6">
              <w:t>Проза</w:t>
            </w:r>
          </w:p>
          <w:p w:rsidR="00F46511" w:rsidRPr="00416EF6" w:rsidRDefault="00F46511" w:rsidP="00147B6D">
            <w:proofErr w:type="gramStart"/>
            <w:r w:rsidRPr="00416EF6">
              <w:t>поэзия</w:t>
            </w:r>
            <w:proofErr w:type="gramEnd"/>
          </w:p>
        </w:tc>
        <w:tc>
          <w:tcPr>
            <w:tcW w:w="2092" w:type="dxa"/>
          </w:tcPr>
          <w:p w:rsidR="00F46511" w:rsidRPr="00416EF6" w:rsidRDefault="00F46511" w:rsidP="00147B6D">
            <w:r w:rsidRPr="00416EF6">
              <w:t>Все богатства лексики</w:t>
            </w:r>
          </w:p>
        </w:tc>
      </w:tr>
    </w:tbl>
    <w:p w:rsidR="00F46511" w:rsidRPr="002716AA" w:rsidRDefault="00F46511" w:rsidP="00F46511">
      <w:pPr>
        <w:jc w:val="both"/>
        <w:rPr>
          <w:i/>
        </w:rPr>
      </w:pPr>
    </w:p>
    <w:p w:rsidR="00F46511" w:rsidRDefault="00F46511" w:rsidP="00F46511"/>
    <w:p w:rsidR="00F46511" w:rsidRDefault="00F46511" w:rsidP="00F46511"/>
    <w:p w:rsidR="00F46511" w:rsidRDefault="00F46511" w:rsidP="00F46511"/>
    <w:p w:rsidR="00F46511" w:rsidRDefault="00F46511" w:rsidP="00F46511"/>
    <w:p w:rsidR="00F46511" w:rsidRDefault="00F46511" w:rsidP="00F46511"/>
    <w:p w:rsidR="00F46511" w:rsidRDefault="00F46511" w:rsidP="00F46511"/>
    <w:p w:rsidR="00F46511" w:rsidRDefault="00F46511" w:rsidP="00F46511"/>
    <w:p w:rsidR="00F46511" w:rsidRDefault="00F46511" w:rsidP="00F46511"/>
    <w:p w:rsidR="00F46511" w:rsidRDefault="00F46511" w:rsidP="00F46511"/>
    <w:p w:rsidR="00F46511" w:rsidRDefault="00F46511" w:rsidP="00F46511"/>
    <w:p w:rsidR="00F46511" w:rsidRDefault="00F46511" w:rsidP="00F46511"/>
    <w:p w:rsidR="00F46511" w:rsidRDefault="00F46511" w:rsidP="00F46511"/>
    <w:p w:rsidR="00F46511" w:rsidRDefault="00F46511" w:rsidP="00F46511"/>
    <w:p w:rsidR="00F46511" w:rsidRDefault="00F46511" w:rsidP="00F46511"/>
    <w:p w:rsidR="00F46511" w:rsidRDefault="00F46511" w:rsidP="00F46511"/>
    <w:p w:rsidR="00F46511" w:rsidRDefault="00F46511" w:rsidP="00F46511"/>
    <w:p w:rsidR="00F46511" w:rsidRDefault="00F46511" w:rsidP="00F46511">
      <w:r>
        <w:t>Приложение 2</w:t>
      </w:r>
    </w:p>
    <w:p w:rsidR="00F46511" w:rsidRDefault="00F46511" w:rsidP="00F46511"/>
    <w:p w:rsidR="00F46511" w:rsidRDefault="00F46511" w:rsidP="00F46511"/>
    <w:p w:rsidR="00F46511" w:rsidRPr="002716AA" w:rsidRDefault="00F46511" w:rsidP="00F46511">
      <w:pPr>
        <w:rPr>
          <w:rFonts w:eastAsiaTheme="minorHAnsi"/>
        </w:rPr>
      </w:pPr>
      <w:r w:rsidRPr="002716AA">
        <w:t>И тогда великий Святослав</w:t>
      </w:r>
      <w:r w:rsidRPr="002716AA">
        <w:br/>
      </w:r>
      <w:proofErr w:type="spellStart"/>
      <w:r w:rsidRPr="002716AA">
        <w:t>Изронил</w:t>
      </w:r>
      <w:proofErr w:type="spellEnd"/>
      <w:r w:rsidRPr="002716AA">
        <w:t xml:space="preserve"> свое златое слово.</w:t>
      </w:r>
      <w:r w:rsidRPr="002716AA">
        <w:br/>
        <w:t>Со слезами смешано, сказав:</w:t>
      </w:r>
      <w:r w:rsidRPr="002716AA">
        <w:br/>
        <w:t>"О сыны, не ждал я зла такого!</w:t>
      </w:r>
      <w:r w:rsidRPr="002716AA">
        <w:br/>
        <w:t>Загубили юность вы свою,</w:t>
      </w:r>
      <w:r w:rsidRPr="002716AA">
        <w:br/>
        <w:t>На врага не вовремя напали,</w:t>
      </w:r>
      <w:r w:rsidRPr="002716AA">
        <w:br/>
        <w:t xml:space="preserve">Не с великой </w:t>
      </w:r>
      <w:proofErr w:type="spellStart"/>
      <w:r w:rsidRPr="002716AA">
        <w:t>честию</w:t>
      </w:r>
      <w:proofErr w:type="spellEnd"/>
      <w:r w:rsidRPr="002716AA">
        <w:t xml:space="preserve"> в бою</w:t>
      </w:r>
      <w:r w:rsidRPr="002716AA">
        <w:br/>
        <w:t>Вражью кровь на землю проливали.</w:t>
      </w:r>
      <w:r w:rsidRPr="002716AA">
        <w:br/>
        <w:t>Ваше сердце в кованой броне</w:t>
      </w:r>
      <w:r w:rsidRPr="002716AA">
        <w:br/>
        <w:t>Закалилось в буйстве самочинном.</w:t>
      </w:r>
      <w:r w:rsidRPr="002716AA">
        <w:br/>
        <w:t>Что ж вы, дети, натворили мне</w:t>
      </w:r>
      <w:r w:rsidRPr="002716AA">
        <w:br/>
        <w:t>И моим серебряным сединам?</w:t>
      </w:r>
      <w:r w:rsidRPr="002716AA">
        <w:br/>
        <w:t>Где мой брат, мой грозный Ярослав,</w:t>
      </w:r>
      <w:r w:rsidRPr="002716AA">
        <w:br/>
        <w:t>Где его черниговские слуги,</w:t>
      </w:r>
      <w:r w:rsidRPr="002716AA">
        <w:br/>
        <w:t xml:space="preserve">Где </w:t>
      </w:r>
      <w:proofErr w:type="spellStart"/>
      <w:r w:rsidRPr="002716AA">
        <w:t>татраны</w:t>
      </w:r>
      <w:proofErr w:type="spellEnd"/>
      <w:r w:rsidRPr="002716AA">
        <w:t>, жители дубрав,</w:t>
      </w:r>
      <w:r w:rsidRPr="002716AA">
        <w:br/>
        <w:t xml:space="preserve">Топчаки, </w:t>
      </w:r>
      <w:proofErr w:type="spellStart"/>
      <w:r w:rsidRPr="002716AA">
        <w:t>ольберы</w:t>
      </w:r>
      <w:proofErr w:type="spellEnd"/>
      <w:r w:rsidRPr="002716AA">
        <w:t xml:space="preserve"> и </w:t>
      </w:r>
      <w:proofErr w:type="spellStart"/>
      <w:r w:rsidRPr="002716AA">
        <w:t>ревуги</w:t>
      </w:r>
      <w:proofErr w:type="spellEnd"/>
      <w:r w:rsidRPr="002716AA">
        <w:t>?</w:t>
      </w:r>
      <w:r w:rsidRPr="002716AA">
        <w:br/>
        <w:t>А ведь было время - без щитов.</w:t>
      </w:r>
      <w:r w:rsidRPr="002716AA">
        <w:br/>
        <w:t>Выхватив ножи из голенища,</w:t>
      </w:r>
      <w:r w:rsidRPr="002716AA">
        <w:br/>
        <w:t>Шли они на полчища врагов,</w:t>
      </w:r>
      <w:r w:rsidRPr="002716AA">
        <w:br/>
        <w:t>Чтоб отметить за наши пепелища.</w:t>
      </w:r>
      <w:r w:rsidRPr="002716AA">
        <w:br/>
        <w:t>Вот где славы прадедовской гром!</w:t>
      </w:r>
      <w:r w:rsidRPr="002716AA">
        <w:br/>
        <w:t>Вы ж решили бить наудалую:</w:t>
      </w:r>
      <w:r w:rsidRPr="002716AA">
        <w:br/>
        <w:t>"Нашу славу силой мы возьмем,</w:t>
      </w:r>
      <w:r w:rsidRPr="002716AA">
        <w:br/>
        <w:t>А за ней поделим и былую".</w:t>
      </w:r>
      <w:r w:rsidRPr="002716AA">
        <w:br/>
        <w:t>Диво ль старцу - мне помолодеть?</w:t>
      </w:r>
      <w:r w:rsidRPr="002716AA">
        <w:br/>
        <w:t>Старый сокол, хоть и слаб он с виду,</w:t>
      </w:r>
      <w:r w:rsidRPr="002716AA">
        <w:br/>
        <w:t>Высоко заставит птиц лететь,</w:t>
      </w:r>
      <w:r w:rsidRPr="002716AA">
        <w:br/>
        <w:t>Никому не даст гнезда в обиду.</w:t>
      </w:r>
      <w:r w:rsidRPr="002716AA">
        <w:br/>
        <w:t>Да князья помочь мне не хотят,</w:t>
      </w:r>
      <w:r w:rsidRPr="002716AA">
        <w:br/>
        <w:t>Мало толку в силе молодецкой.</w:t>
      </w:r>
      <w:r w:rsidRPr="002716AA">
        <w:br/>
        <w:t>Время, что ли. двинулось назад?</w:t>
      </w:r>
      <w:r w:rsidRPr="002716AA">
        <w:br/>
        <w:t xml:space="preserve">Ведь под самым </w:t>
      </w:r>
      <w:proofErr w:type="spellStart"/>
      <w:r w:rsidRPr="002716AA">
        <w:t>Римовом</w:t>
      </w:r>
      <w:proofErr w:type="spellEnd"/>
      <w:r w:rsidRPr="002716AA">
        <w:t xml:space="preserve"> кричат</w:t>
      </w:r>
      <w:r w:rsidRPr="002716AA">
        <w:br/>
      </w:r>
      <w:proofErr w:type="spellStart"/>
      <w:r w:rsidRPr="002716AA">
        <w:t>Русичи</w:t>
      </w:r>
      <w:proofErr w:type="spellEnd"/>
      <w:r w:rsidRPr="002716AA">
        <w:t xml:space="preserve"> под саблей половецкой!</w:t>
      </w:r>
      <w:r w:rsidRPr="002716AA">
        <w:br/>
        <w:t>И Владимир в ранах, чуть живой, -</w:t>
      </w:r>
      <w:r w:rsidRPr="002716AA">
        <w:br/>
        <w:t>Горе князю в сече боевой!"</w:t>
      </w:r>
    </w:p>
    <w:p w:rsidR="00F46511" w:rsidRDefault="00F46511" w:rsidP="00F46511"/>
    <w:p w:rsidR="00F46511" w:rsidRDefault="00F46511" w:rsidP="00F46511"/>
    <w:p w:rsidR="00F46511" w:rsidRDefault="00F46511" w:rsidP="00F46511">
      <w:pPr>
        <w:shd w:val="clear" w:color="auto" w:fill="FFFFFF"/>
        <w:spacing w:before="45" w:after="45"/>
        <w:ind w:left="45" w:right="45" w:firstLine="480"/>
        <w:textAlignment w:val="top"/>
        <w:outlineLvl w:val="1"/>
        <w:rPr>
          <w:rFonts w:eastAsia="Times New Roman"/>
          <w:kern w:val="36"/>
        </w:rPr>
      </w:pPr>
      <w:r w:rsidRPr="002716AA">
        <w:rPr>
          <w:rFonts w:eastAsia="Times New Roman"/>
          <w:kern w:val="36"/>
        </w:rPr>
        <w:t xml:space="preserve">                    </w:t>
      </w:r>
    </w:p>
    <w:p w:rsidR="00F46511" w:rsidRDefault="00F46511" w:rsidP="00F46511">
      <w:pPr>
        <w:shd w:val="clear" w:color="auto" w:fill="FFFFFF"/>
        <w:spacing w:before="45" w:after="45"/>
        <w:ind w:left="45" w:right="45" w:firstLine="480"/>
        <w:textAlignment w:val="top"/>
        <w:outlineLvl w:val="1"/>
        <w:rPr>
          <w:rFonts w:eastAsia="Times New Roman"/>
          <w:kern w:val="36"/>
        </w:rPr>
      </w:pPr>
    </w:p>
    <w:p w:rsidR="00F46511" w:rsidRDefault="00F46511" w:rsidP="00F46511">
      <w:pPr>
        <w:shd w:val="clear" w:color="auto" w:fill="FFFFFF"/>
        <w:spacing w:before="45" w:after="45"/>
        <w:ind w:left="45" w:right="45" w:firstLine="480"/>
        <w:textAlignment w:val="top"/>
        <w:outlineLvl w:val="1"/>
        <w:rPr>
          <w:rFonts w:eastAsia="Times New Roman"/>
          <w:kern w:val="36"/>
        </w:rPr>
      </w:pPr>
    </w:p>
    <w:p w:rsidR="00F46511" w:rsidRDefault="00F46511" w:rsidP="00F46511">
      <w:pPr>
        <w:shd w:val="clear" w:color="auto" w:fill="FFFFFF"/>
        <w:spacing w:before="45" w:after="45"/>
        <w:ind w:left="45" w:right="45" w:firstLine="480"/>
        <w:textAlignment w:val="top"/>
        <w:outlineLvl w:val="1"/>
        <w:rPr>
          <w:rFonts w:eastAsia="Times New Roman"/>
          <w:kern w:val="36"/>
        </w:rPr>
      </w:pPr>
    </w:p>
    <w:p w:rsidR="00F46511" w:rsidRDefault="00F46511" w:rsidP="00F46511">
      <w:pPr>
        <w:shd w:val="clear" w:color="auto" w:fill="FFFFFF"/>
        <w:spacing w:before="45" w:after="45"/>
        <w:ind w:left="45" w:right="45" w:firstLine="480"/>
        <w:textAlignment w:val="top"/>
        <w:outlineLvl w:val="1"/>
        <w:rPr>
          <w:rFonts w:eastAsia="Times New Roman"/>
          <w:kern w:val="36"/>
        </w:rPr>
      </w:pPr>
    </w:p>
    <w:p w:rsidR="00F46511" w:rsidRDefault="00F46511" w:rsidP="00F46511">
      <w:pPr>
        <w:shd w:val="clear" w:color="auto" w:fill="FFFFFF"/>
        <w:spacing w:before="45" w:after="45"/>
        <w:ind w:left="45" w:right="45" w:firstLine="480"/>
        <w:textAlignment w:val="top"/>
        <w:outlineLvl w:val="1"/>
        <w:rPr>
          <w:rFonts w:eastAsia="Times New Roman"/>
          <w:kern w:val="36"/>
        </w:rPr>
      </w:pPr>
    </w:p>
    <w:p w:rsidR="00F46511" w:rsidRDefault="00F46511" w:rsidP="00F46511">
      <w:pPr>
        <w:shd w:val="clear" w:color="auto" w:fill="FFFFFF"/>
        <w:spacing w:before="45" w:after="45"/>
        <w:ind w:left="45" w:right="45" w:firstLine="480"/>
        <w:textAlignment w:val="top"/>
        <w:outlineLvl w:val="1"/>
        <w:rPr>
          <w:rFonts w:eastAsia="Times New Roman"/>
          <w:kern w:val="36"/>
        </w:rPr>
      </w:pPr>
    </w:p>
    <w:p w:rsidR="00F46511" w:rsidRDefault="00F46511" w:rsidP="00F46511">
      <w:pPr>
        <w:shd w:val="clear" w:color="auto" w:fill="FFFFFF"/>
        <w:spacing w:before="45" w:after="45"/>
        <w:ind w:left="45" w:right="45" w:firstLine="480"/>
        <w:textAlignment w:val="top"/>
        <w:outlineLvl w:val="1"/>
        <w:rPr>
          <w:rFonts w:eastAsia="Times New Roman"/>
          <w:kern w:val="36"/>
        </w:rPr>
      </w:pPr>
    </w:p>
    <w:p w:rsidR="00F46511" w:rsidRDefault="00F46511" w:rsidP="00F46511">
      <w:pPr>
        <w:shd w:val="clear" w:color="auto" w:fill="FFFFFF"/>
        <w:spacing w:before="45" w:after="45"/>
        <w:ind w:left="45" w:right="45" w:firstLine="480"/>
        <w:textAlignment w:val="top"/>
        <w:outlineLvl w:val="1"/>
        <w:rPr>
          <w:rFonts w:eastAsia="Times New Roman"/>
          <w:kern w:val="36"/>
        </w:rPr>
      </w:pPr>
    </w:p>
    <w:p w:rsidR="00F46511" w:rsidRDefault="00F46511" w:rsidP="00F46511">
      <w:pPr>
        <w:shd w:val="clear" w:color="auto" w:fill="FFFFFF"/>
        <w:spacing w:before="45" w:after="45"/>
        <w:ind w:left="45" w:right="45" w:firstLine="480"/>
        <w:textAlignment w:val="top"/>
        <w:outlineLvl w:val="1"/>
        <w:rPr>
          <w:rFonts w:eastAsia="Times New Roman"/>
          <w:kern w:val="36"/>
        </w:rPr>
      </w:pPr>
    </w:p>
    <w:p w:rsidR="00F46511" w:rsidRDefault="00F46511" w:rsidP="00F46511">
      <w:pPr>
        <w:shd w:val="clear" w:color="auto" w:fill="FFFFFF"/>
        <w:spacing w:before="45" w:after="45"/>
        <w:ind w:left="45" w:right="45" w:firstLine="480"/>
        <w:textAlignment w:val="top"/>
        <w:outlineLvl w:val="1"/>
        <w:rPr>
          <w:rFonts w:eastAsia="Times New Roman"/>
          <w:kern w:val="36"/>
        </w:rPr>
      </w:pPr>
    </w:p>
    <w:p w:rsidR="00F46511" w:rsidRDefault="00F46511" w:rsidP="00F46511">
      <w:pPr>
        <w:shd w:val="clear" w:color="auto" w:fill="FFFFFF"/>
        <w:spacing w:before="45" w:after="45"/>
        <w:ind w:left="45" w:right="45" w:firstLine="480"/>
        <w:textAlignment w:val="top"/>
        <w:outlineLvl w:val="1"/>
        <w:rPr>
          <w:rFonts w:eastAsia="Times New Roman"/>
          <w:kern w:val="36"/>
        </w:rPr>
      </w:pPr>
      <w:r>
        <w:rPr>
          <w:rFonts w:eastAsia="Times New Roman"/>
          <w:kern w:val="36"/>
        </w:rPr>
        <w:t>Приложение 3</w:t>
      </w:r>
    </w:p>
    <w:p w:rsidR="00F46511" w:rsidRDefault="00F46511" w:rsidP="00F46511">
      <w:pPr>
        <w:shd w:val="clear" w:color="auto" w:fill="FFFFFF"/>
        <w:spacing w:before="45" w:after="45"/>
        <w:ind w:left="45" w:right="45" w:firstLine="480"/>
        <w:textAlignment w:val="top"/>
        <w:outlineLvl w:val="1"/>
        <w:rPr>
          <w:rFonts w:eastAsia="Times New Roman"/>
          <w:kern w:val="36"/>
        </w:rPr>
      </w:pPr>
    </w:p>
    <w:p w:rsidR="00F46511" w:rsidRPr="002716AA" w:rsidRDefault="00F46511" w:rsidP="00F46511">
      <w:pPr>
        <w:shd w:val="clear" w:color="auto" w:fill="FFFFFF"/>
        <w:spacing w:before="45" w:after="45"/>
        <w:ind w:left="45" w:right="45" w:firstLine="480"/>
        <w:textAlignment w:val="top"/>
        <w:outlineLvl w:val="1"/>
        <w:rPr>
          <w:rFonts w:eastAsia="Times New Roman"/>
          <w:kern w:val="36"/>
        </w:rPr>
      </w:pPr>
      <w:r w:rsidRPr="002716AA">
        <w:rPr>
          <w:rFonts w:eastAsia="Times New Roman"/>
          <w:kern w:val="36"/>
        </w:rPr>
        <w:t xml:space="preserve">   МОЛОДОСТЬ – ВСЯ ЖИЗНЬ</w:t>
      </w:r>
    </w:p>
    <w:p w:rsidR="00F46511" w:rsidRPr="002716AA" w:rsidRDefault="00F46511" w:rsidP="00F46511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eastAsia="Times New Roman"/>
        </w:rPr>
      </w:pPr>
      <w:r w:rsidRPr="002716AA">
        <w:rPr>
          <w:rFonts w:eastAsia="Times New Roman"/>
        </w:rPr>
        <w:t xml:space="preserve">Когда я учился в школе, а потом в университете, мне казалось, что моя «взрослая жизнь» будет в какой-то совершенно иной обстановке, как бы в ином мире, и меня будут окружать совсем другие люди. От настоящего не останется ничего… А на самом деле оказалось все иначе. Мои сверстники остались со мной. Не все, конечно: многих унесла смерть. И все же друзья молодости оказались самыми верными, всегдашними. Круг знакомых возрос необычайно, но настоящие друзья – старые. Подлинные друзья приобретаются в молодости. Я помню, что и у моей матери настоящими друзьями остались только ее подруги по гимназии. У отца друзья были его сокурсники по институту. И сколько я ни наблюдал, открытость к дружбе постепенно снижается с возрастом. Молодость – это время сближения. И об этом следует помнить и друзей беречь, ибо настоящая дружба очень помогает </w:t>
      </w:r>
      <w:r w:rsidRPr="002716AA">
        <w:rPr>
          <w:rFonts w:eastAsia="Times New Roman"/>
          <w:b/>
        </w:rPr>
        <w:t>и в горе и в радости</w:t>
      </w:r>
      <w:r w:rsidRPr="002716AA">
        <w:rPr>
          <w:rFonts w:eastAsia="Times New Roman"/>
        </w:rPr>
        <w:t xml:space="preserve">. В радости ведь тоже нужна помощь: помощь, чтобы ощутить счастье до глубины души, ощутить и поделиться им. Неразделенная радость – не радость. Человека </w:t>
      </w:r>
      <w:r w:rsidRPr="002716AA">
        <w:rPr>
          <w:rFonts w:eastAsia="Times New Roman"/>
          <w:b/>
        </w:rPr>
        <w:t>портит счастье,</w:t>
      </w:r>
      <w:r w:rsidRPr="002716AA">
        <w:rPr>
          <w:rFonts w:eastAsia="Times New Roman"/>
        </w:rPr>
        <w:t xml:space="preserve"> если он переживает его один. Когда же наступит пора несчастий, пора утрат – опять-таки нельзя быть одному. Горе человеку, если он один.</w:t>
      </w:r>
    </w:p>
    <w:p w:rsidR="00F46511" w:rsidRPr="002716AA" w:rsidRDefault="00F46511" w:rsidP="00F46511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eastAsia="Times New Roman"/>
        </w:rPr>
      </w:pPr>
      <w:r w:rsidRPr="002716AA">
        <w:rPr>
          <w:rFonts w:eastAsia="Times New Roman"/>
        </w:rPr>
        <w:t xml:space="preserve">Поэтому берегите молодость до глубокой старости. Цените все хорошее, что приобрели в молодые годы, не растрачивайте </w:t>
      </w:r>
      <w:r w:rsidRPr="002716AA">
        <w:rPr>
          <w:rFonts w:eastAsia="Times New Roman"/>
          <w:b/>
        </w:rPr>
        <w:t>богатств молодости.</w:t>
      </w:r>
      <w:r w:rsidRPr="002716AA">
        <w:rPr>
          <w:rFonts w:eastAsia="Times New Roman"/>
        </w:rPr>
        <w:t xml:space="preserve"> Ничто из приобретенного в молодости не проходит бесследно. Привычки, воспитанные в молодости, сохраняются на всю жизнь. Навыки в труде – тоже. Привык к работе – и работа вечно будет доставлять радость. А как это важно для человеческого счастья! Нет несчастнее человека ленивого, вечно избегающего труда, усилий…</w:t>
      </w:r>
    </w:p>
    <w:p w:rsidR="00F46511" w:rsidRPr="002716AA" w:rsidRDefault="00F46511" w:rsidP="00F46511">
      <w:r w:rsidRPr="002716AA">
        <w:rPr>
          <w:rFonts w:eastAsia="Times New Roman"/>
        </w:rPr>
        <w:t xml:space="preserve">Как в молодости, так и в старости. Хорошие </w:t>
      </w:r>
      <w:r w:rsidRPr="002716AA">
        <w:rPr>
          <w:rFonts w:eastAsia="Times New Roman"/>
          <w:b/>
        </w:rPr>
        <w:t>навыки молодости</w:t>
      </w:r>
      <w:r w:rsidRPr="002716AA">
        <w:rPr>
          <w:rFonts w:eastAsia="Times New Roman"/>
        </w:rPr>
        <w:t xml:space="preserve"> облегчат глубокой старости И еще. Есть русская пословица: «Береги честь смолоду». В памяти остаются все поступки, совершенные в молодости. Хорошие будут радовать, дурные не давать спать!</w:t>
      </w:r>
    </w:p>
    <w:p w:rsidR="00BB7C31" w:rsidRDefault="00BB7C31"/>
    <w:sectPr w:rsidR="00BB7C31" w:rsidSect="00F97F3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11"/>
    <w:rsid w:val="001A046C"/>
    <w:rsid w:val="00BB7C31"/>
    <w:rsid w:val="00F4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41EB7-2F23-4132-B1D1-528A5A9E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F46511"/>
    <w:pPr>
      <w:spacing w:before="100" w:beforeAutospacing="1" w:after="100" w:afterAutospacing="1"/>
      <w:jc w:val="both"/>
    </w:pPr>
    <w:rPr>
      <w:rFonts w:eastAsia="Times New Roman"/>
      <w:color w:val="000000"/>
    </w:rPr>
  </w:style>
  <w:style w:type="paragraph" w:styleId="a3">
    <w:name w:val="List Paragraph"/>
    <w:basedOn w:val="a"/>
    <w:uiPriority w:val="34"/>
    <w:qFormat/>
    <w:rsid w:val="00F46511"/>
    <w:pPr>
      <w:ind w:left="720"/>
      <w:contextualSpacing/>
    </w:pPr>
  </w:style>
  <w:style w:type="table" w:styleId="a4">
    <w:name w:val="Table Grid"/>
    <w:basedOn w:val="a1"/>
    <w:uiPriority w:val="59"/>
    <w:rsid w:val="00F4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2016-09-25T18:09:00Z</dcterms:created>
  <dcterms:modified xsi:type="dcterms:W3CDTF">2016-09-25T18:13:00Z</dcterms:modified>
</cp:coreProperties>
</file>